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8CA" w:rsidRPr="009C4726" w:rsidRDefault="009C4726" w:rsidP="009C4726">
      <w:pPr>
        <w:ind w:firstLine="0"/>
        <w:jc w:val="center"/>
        <w:rPr>
          <w:b/>
        </w:rPr>
      </w:pPr>
      <w:r w:rsidRPr="009C4726">
        <w:rPr>
          <w:b/>
        </w:rPr>
        <w:t>Информационно-статистический обзор</w:t>
      </w:r>
    </w:p>
    <w:p w:rsidR="009C4726" w:rsidRPr="009C4726" w:rsidRDefault="009C4726" w:rsidP="009C4726">
      <w:pPr>
        <w:ind w:firstLine="0"/>
        <w:jc w:val="center"/>
        <w:rPr>
          <w:b/>
        </w:rPr>
      </w:pPr>
      <w:r w:rsidRPr="009C4726">
        <w:rPr>
          <w:b/>
        </w:rPr>
        <w:t>обращений граждан, организаций и общественных объединений,</w:t>
      </w:r>
    </w:p>
    <w:p w:rsidR="009C4726" w:rsidRPr="009C4726" w:rsidRDefault="009C4726" w:rsidP="009C4726">
      <w:pPr>
        <w:ind w:firstLine="0"/>
        <w:jc w:val="center"/>
        <w:rPr>
          <w:b/>
        </w:rPr>
      </w:pPr>
      <w:proofErr w:type="gramStart"/>
      <w:r w:rsidRPr="009C4726">
        <w:rPr>
          <w:b/>
        </w:rPr>
        <w:t>направленных</w:t>
      </w:r>
      <w:proofErr w:type="gramEnd"/>
      <w:r w:rsidRPr="009C4726">
        <w:rPr>
          <w:b/>
        </w:rPr>
        <w:t xml:space="preserve"> в </w:t>
      </w:r>
      <w:r w:rsidR="009B1145">
        <w:rPr>
          <w:b/>
        </w:rPr>
        <w:t xml:space="preserve">Территориальный орган Федеральной службы государственной статистики по Камчатскому краю </w:t>
      </w:r>
      <w:r w:rsidR="00996471">
        <w:rPr>
          <w:b/>
        </w:rPr>
        <w:t>в 3</w:t>
      </w:r>
      <w:r w:rsidRPr="009C4726">
        <w:rPr>
          <w:b/>
        </w:rPr>
        <w:t xml:space="preserve"> квартале 20</w:t>
      </w:r>
      <w:r w:rsidR="009B1145">
        <w:rPr>
          <w:b/>
        </w:rPr>
        <w:t>1</w:t>
      </w:r>
      <w:r w:rsidR="002D7EBB" w:rsidRPr="002D7EBB">
        <w:rPr>
          <w:b/>
        </w:rPr>
        <w:t>9</w:t>
      </w:r>
      <w:r w:rsidRPr="009C4726">
        <w:rPr>
          <w:b/>
        </w:rPr>
        <w:t xml:space="preserve"> года</w:t>
      </w:r>
    </w:p>
    <w:p w:rsidR="009C4726" w:rsidRDefault="009C4726" w:rsidP="009C4726">
      <w:pPr>
        <w:ind w:firstLine="0"/>
        <w:jc w:val="center"/>
      </w:pPr>
    </w:p>
    <w:p w:rsidR="00A61728" w:rsidRPr="008B2B11" w:rsidRDefault="009C4726" w:rsidP="009B1145">
      <w:r>
        <w:t xml:space="preserve">В </w:t>
      </w:r>
      <w:r w:rsidR="009B1145">
        <w:t xml:space="preserve">Территориальный орган Федеральной службы государственной статистики по Камчатскому краю </w:t>
      </w:r>
      <w:r w:rsidR="004B0A57">
        <w:t>в</w:t>
      </w:r>
      <w:r>
        <w:t xml:space="preserve"> </w:t>
      </w:r>
      <w:r w:rsidR="00996471">
        <w:rPr>
          <w:b/>
        </w:rPr>
        <w:t>3</w:t>
      </w:r>
      <w:r w:rsidRPr="00A61728">
        <w:rPr>
          <w:b/>
        </w:rPr>
        <w:t xml:space="preserve"> квартале 20</w:t>
      </w:r>
      <w:r w:rsidR="009B1145" w:rsidRPr="00A61728">
        <w:rPr>
          <w:b/>
        </w:rPr>
        <w:t>1</w:t>
      </w:r>
      <w:r w:rsidR="002D7EBB" w:rsidRPr="002D7EBB">
        <w:rPr>
          <w:b/>
        </w:rPr>
        <w:t>9</w:t>
      </w:r>
      <w:r w:rsidRPr="00A61728">
        <w:rPr>
          <w:b/>
        </w:rPr>
        <w:t xml:space="preserve"> года</w:t>
      </w:r>
      <w:r>
        <w:t xml:space="preserve"> поступило</w:t>
      </w:r>
      <w:r w:rsidR="00086E38">
        <w:t xml:space="preserve"> </w:t>
      </w:r>
      <w:r w:rsidR="00402F8F" w:rsidRPr="00402F8F">
        <w:rPr>
          <w:b/>
        </w:rPr>
        <w:t>1</w:t>
      </w:r>
      <w:r w:rsidR="007C0627" w:rsidRPr="00402F8F">
        <w:rPr>
          <w:b/>
        </w:rPr>
        <w:t>8</w:t>
      </w:r>
      <w:r>
        <w:t xml:space="preserve"> обращени</w:t>
      </w:r>
      <w:r w:rsidR="004B0A57">
        <w:t>й</w:t>
      </w:r>
      <w:r>
        <w:t xml:space="preserve"> граждан, организаций и общественных объединений (далее - обращения граждан)</w:t>
      </w:r>
      <w:r w:rsidR="008B2B11">
        <w:t>:</w:t>
      </w:r>
      <w:r w:rsidR="002F4BEE">
        <w:t xml:space="preserve"> </w:t>
      </w:r>
      <w:r w:rsidR="00E60112">
        <w:t xml:space="preserve">  </w:t>
      </w:r>
    </w:p>
    <w:p w:rsidR="00E60112" w:rsidRDefault="002F4BEE" w:rsidP="006E7B40">
      <w:pPr>
        <w:ind w:left="709" w:firstLine="0"/>
      </w:pPr>
      <w:r>
        <w:t xml:space="preserve">1 месяц квартала </w:t>
      </w:r>
      <w:r w:rsidR="008B2B11">
        <w:t>–</w:t>
      </w:r>
      <w:r>
        <w:t xml:space="preserve"> </w:t>
      </w:r>
      <w:r w:rsidR="00402F8F" w:rsidRPr="00402F8F">
        <w:rPr>
          <w:b/>
        </w:rPr>
        <w:t>9</w:t>
      </w:r>
      <w:r w:rsidR="00326E38" w:rsidRPr="00277E70">
        <w:rPr>
          <w:b/>
        </w:rPr>
        <w:t xml:space="preserve"> </w:t>
      </w:r>
      <w:r w:rsidR="009C6674">
        <w:t>(</w:t>
      </w:r>
      <w:r w:rsidR="00402F8F" w:rsidRPr="00402F8F">
        <w:t>50</w:t>
      </w:r>
      <w:r w:rsidR="00402F8F">
        <w:t>,</w:t>
      </w:r>
      <w:r w:rsidR="00402F8F" w:rsidRPr="00402F8F">
        <w:t>0</w:t>
      </w:r>
      <w:r w:rsidR="009C6674">
        <w:t>%)</w:t>
      </w:r>
      <w:r w:rsidR="008B2B11">
        <w:t>;</w:t>
      </w:r>
    </w:p>
    <w:p w:rsidR="00E60112" w:rsidRDefault="002F4BEE" w:rsidP="006E7B40">
      <w:pPr>
        <w:ind w:left="709" w:firstLine="0"/>
      </w:pPr>
      <w:r>
        <w:t xml:space="preserve">2 месяц квартала </w:t>
      </w:r>
      <w:r w:rsidR="008B2B11">
        <w:t>–</w:t>
      </w:r>
      <w:r>
        <w:t xml:space="preserve"> </w:t>
      </w:r>
      <w:r w:rsidR="00402F8F" w:rsidRPr="00402F8F">
        <w:rPr>
          <w:b/>
        </w:rPr>
        <w:t>5</w:t>
      </w:r>
      <w:r w:rsidR="009C6674">
        <w:rPr>
          <w:b/>
        </w:rPr>
        <w:t xml:space="preserve"> </w:t>
      </w:r>
      <w:r w:rsidR="009C6674" w:rsidRPr="009C6674">
        <w:t>(</w:t>
      </w:r>
      <w:r w:rsidR="00402F8F">
        <w:t>27,8</w:t>
      </w:r>
      <w:r w:rsidR="009C6674" w:rsidRPr="009C6674">
        <w:t>%)</w:t>
      </w:r>
      <w:r w:rsidR="008B2B11">
        <w:t>;</w:t>
      </w:r>
    </w:p>
    <w:p w:rsidR="009C6674" w:rsidRDefault="002F4BEE" w:rsidP="008B56DA">
      <w:pPr>
        <w:ind w:left="709" w:firstLine="0"/>
      </w:pPr>
      <w:r>
        <w:t xml:space="preserve">3 месяц квартала </w:t>
      </w:r>
      <w:r w:rsidR="009C6674">
        <w:t>–</w:t>
      </w:r>
      <w:r>
        <w:t xml:space="preserve"> </w:t>
      </w:r>
      <w:r w:rsidR="00402F8F" w:rsidRPr="00402F8F">
        <w:rPr>
          <w:b/>
        </w:rPr>
        <w:t>4</w:t>
      </w:r>
      <w:r w:rsidR="009C6674">
        <w:rPr>
          <w:b/>
        </w:rPr>
        <w:t xml:space="preserve"> </w:t>
      </w:r>
      <w:r w:rsidR="009C6674" w:rsidRPr="009C6674">
        <w:t>(</w:t>
      </w:r>
      <w:r w:rsidR="00402F8F">
        <w:t>22,2</w:t>
      </w:r>
      <w:r w:rsidR="009C6674" w:rsidRPr="009C6674">
        <w:t>%)</w:t>
      </w:r>
      <w:r w:rsidR="007D38F9">
        <w:t>.</w:t>
      </w:r>
    </w:p>
    <w:p w:rsidR="00CE141B" w:rsidRDefault="00CE141B" w:rsidP="008B56DA">
      <w:pPr>
        <w:ind w:left="709" w:firstLine="0"/>
      </w:pPr>
    </w:p>
    <w:p w:rsidR="00724FF1" w:rsidRDefault="00AD45B7" w:rsidP="008B56DA">
      <w:pPr>
        <w:ind w:left="709" w:firstLine="0"/>
      </w:pPr>
      <w:r>
        <w:rPr>
          <w:noProof/>
        </w:rPr>
        <w:drawing>
          <wp:inline distT="0" distB="0" distL="0" distR="0">
            <wp:extent cx="6247180" cy="2494484"/>
            <wp:effectExtent l="19050" t="0" r="122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872DF" w:rsidRDefault="002872DF" w:rsidP="008B56DA">
      <w:pPr>
        <w:ind w:left="709" w:firstLine="0"/>
      </w:pPr>
    </w:p>
    <w:p w:rsidR="00CD7746" w:rsidRDefault="00CD7746" w:rsidP="009C4726">
      <w:r>
        <w:t>Количество поступивших</w:t>
      </w:r>
      <w:r w:rsidR="00F519F5" w:rsidRPr="00F519F5">
        <w:t xml:space="preserve"> </w:t>
      </w:r>
      <w:r>
        <w:t>обращений граждан</w:t>
      </w:r>
      <w:r w:rsidR="00F519F5" w:rsidRPr="00F519F5">
        <w:t xml:space="preserve"> </w:t>
      </w:r>
      <w:r>
        <w:t>по типу обращения:</w:t>
      </w:r>
    </w:p>
    <w:p w:rsidR="00CD7746" w:rsidRDefault="00CD7746" w:rsidP="009C4726">
      <w:r>
        <w:t xml:space="preserve">заявления </w:t>
      </w:r>
      <w:r w:rsidR="0060354D">
        <w:t>–</w:t>
      </w:r>
      <w:r>
        <w:t xml:space="preserve"> </w:t>
      </w:r>
      <w:r w:rsidR="007C0627">
        <w:rPr>
          <w:b/>
        </w:rPr>
        <w:t>3</w:t>
      </w:r>
      <w:r w:rsidR="002F574E">
        <w:rPr>
          <w:b/>
        </w:rPr>
        <w:t xml:space="preserve"> </w:t>
      </w:r>
      <w:r>
        <w:t>(</w:t>
      </w:r>
      <w:r w:rsidR="00402F8F">
        <w:t>16,7</w:t>
      </w:r>
      <w:r>
        <w:t>%)</w:t>
      </w:r>
      <w:r>
        <w:rPr>
          <w:rStyle w:val="a7"/>
        </w:rPr>
        <w:footnoteReference w:id="1"/>
      </w:r>
      <w:r>
        <w:t>;</w:t>
      </w:r>
    </w:p>
    <w:p w:rsidR="00CD7746" w:rsidRDefault="00CD7746" w:rsidP="009C4726">
      <w:r>
        <w:t xml:space="preserve">запрос </w:t>
      </w:r>
      <w:r w:rsidR="00402F8F">
        <w:t xml:space="preserve">официальной </w:t>
      </w:r>
      <w:r w:rsidR="00F85A04">
        <w:t xml:space="preserve">статистической </w:t>
      </w:r>
      <w:r>
        <w:t xml:space="preserve">информации </w:t>
      </w:r>
      <w:r w:rsidR="002F574E">
        <w:t>–</w:t>
      </w:r>
      <w:r>
        <w:t xml:space="preserve"> </w:t>
      </w:r>
      <w:r w:rsidR="00402F8F">
        <w:rPr>
          <w:b/>
        </w:rPr>
        <w:t>14</w:t>
      </w:r>
      <w:r w:rsidR="002F574E">
        <w:rPr>
          <w:b/>
        </w:rPr>
        <w:t xml:space="preserve"> </w:t>
      </w:r>
      <w:r>
        <w:t>(</w:t>
      </w:r>
      <w:r w:rsidR="00402F8F">
        <w:t>77,8</w:t>
      </w:r>
      <w:r>
        <w:t>%)</w:t>
      </w:r>
      <w:r w:rsidR="00402F8F">
        <w:t>;</w:t>
      </w:r>
    </w:p>
    <w:p w:rsidR="00402F8F" w:rsidRDefault="00402F8F" w:rsidP="009C4726">
      <w:r>
        <w:t xml:space="preserve">запрос годовой бухгалтерской отчетности – </w:t>
      </w:r>
      <w:r w:rsidRPr="00402F8F">
        <w:rPr>
          <w:b/>
        </w:rPr>
        <w:t>1</w:t>
      </w:r>
      <w:r>
        <w:t xml:space="preserve"> (5,5%).</w:t>
      </w:r>
    </w:p>
    <w:p w:rsidR="00CD7746" w:rsidRDefault="00DC3460" w:rsidP="009C4726">
      <w:r>
        <w:t>Из них поступивших:</w:t>
      </w:r>
    </w:p>
    <w:p w:rsidR="00DC3460" w:rsidRPr="001D6F94" w:rsidRDefault="0060354D" w:rsidP="009C4726">
      <w:r>
        <w:t>впервые</w:t>
      </w:r>
      <w:r w:rsidR="00DC3460">
        <w:t xml:space="preserve"> </w:t>
      </w:r>
      <w:r>
        <w:t>–</w:t>
      </w:r>
      <w:r w:rsidR="00DC3460">
        <w:t xml:space="preserve"> </w:t>
      </w:r>
      <w:r w:rsidR="00402F8F">
        <w:rPr>
          <w:b/>
        </w:rPr>
        <w:t>18</w:t>
      </w:r>
      <w:r w:rsidR="002F574E">
        <w:rPr>
          <w:b/>
        </w:rPr>
        <w:t xml:space="preserve"> </w:t>
      </w:r>
      <w:r w:rsidR="001D6F94" w:rsidRPr="009F4D42">
        <w:t>(</w:t>
      </w:r>
      <w:r w:rsidR="001D6F94" w:rsidRPr="001D6F94">
        <w:t>100%)</w:t>
      </w:r>
      <w:r w:rsidRPr="001D6F94">
        <w:t>.</w:t>
      </w:r>
    </w:p>
    <w:p w:rsidR="009C4726" w:rsidRDefault="00136630" w:rsidP="009C4726">
      <w:r>
        <w:t xml:space="preserve">Каналы </w:t>
      </w:r>
      <w:r w:rsidR="009C4726">
        <w:t>поступл</w:t>
      </w:r>
      <w:r>
        <w:t>ения</w:t>
      </w:r>
      <w:r w:rsidR="00CD7746">
        <w:t xml:space="preserve"> обращений</w:t>
      </w:r>
      <w:r>
        <w:t>:</w:t>
      </w:r>
    </w:p>
    <w:p w:rsidR="00136630" w:rsidRDefault="00136630" w:rsidP="002131A8">
      <w:pPr>
        <w:pStyle w:val="af2"/>
        <w:numPr>
          <w:ilvl w:val="0"/>
          <w:numId w:val="27"/>
        </w:numPr>
      </w:pPr>
      <w:r>
        <w:t xml:space="preserve">По источнику </w:t>
      </w:r>
      <w:r w:rsidR="00BF2461">
        <w:t>поступления:</w:t>
      </w:r>
    </w:p>
    <w:p w:rsidR="00CC32E9" w:rsidRDefault="002131A8" w:rsidP="007D1070">
      <w:pPr>
        <w:ind w:left="709" w:firstLine="0"/>
      </w:pPr>
      <w:r>
        <w:t xml:space="preserve">- </w:t>
      </w:r>
      <w:r w:rsidR="007D1070">
        <w:t xml:space="preserve">от граждан – </w:t>
      </w:r>
      <w:r w:rsidR="00402F8F">
        <w:rPr>
          <w:b/>
        </w:rPr>
        <w:t>18</w:t>
      </w:r>
      <w:r w:rsidR="002F574E">
        <w:rPr>
          <w:b/>
        </w:rPr>
        <w:t xml:space="preserve"> </w:t>
      </w:r>
      <w:r w:rsidR="007D1070">
        <w:t>(</w:t>
      </w:r>
      <w:r w:rsidR="009C6674">
        <w:t>100</w:t>
      </w:r>
      <w:r w:rsidR="007D1070">
        <w:t>%</w:t>
      </w:r>
      <w:r w:rsidR="001D6F94">
        <w:t>)</w:t>
      </w:r>
      <w:r w:rsidR="009C6674">
        <w:t>.</w:t>
      </w:r>
    </w:p>
    <w:p w:rsidR="00BF2461" w:rsidRDefault="00BF2461" w:rsidP="009C4726">
      <w:r>
        <w:t>2. По типу доставки:</w:t>
      </w:r>
    </w:p>
    <w:p w:rsidR="00BF2461" w:rsidRDefault="00BF2461" w:rsidP="009C4726">
      <w:r>
        <w:t>по сет</w:t>
      </w:r>
      <w:r w:rsidR="002F4BEE">
        <w:t>и</w:t>
      </w:r>
      <w:r>
        <w:t xml:space="preserve"> Интернет </w:t>
      </w:r>
      <w:r w:rsidR="002F4BEE">
        <w:t xml:space="preserve">(электронной почтой) </w:t>
      </w:r>
      <w:r w:rsidR="002F574E">
        <w:t>–</w:t>
      </w:r>
      <w:r>
        <w:t xml:space="preserve"> </w:t>
      </w:r>
      <w:r w:rsidR="00402F8F">
        <w:rPr>
          <w:b/>
        </w:rPr>
        <w:t>3</w:t>
      </w:r>
      <w:r w:rsidR="002F574E">
        <w:rPr>
          <w:b/>
        </w:rPr>
        <w:t xml:space="preserve"> </w:t>
      </w:r>
      <w:r w:rsidR="00763E75">
        <w:t>(</w:t>
      </w:r>
      <w:r w:rsidR="00402F8F">
        <w:t>16,7</w:t>
      </w:r>
      <w:r w:rsidR="00763E75">
        <w:t>%)</w:t>
      </w:r>
      <w:r>
        <w:t>;</w:t>
      </w:r>
    </w:p>
    <w:p w:rsidR="00AD45B7" w:rsidRDefault="00AD45B7" w:rsidP="009C4726">
      <w:r>
        <w:t xml:space="preserve">почта России - </w:t>
      </w:r>
      <w:r>
        <w:rPr>
          <w:b/>
        </w:rPr>
        <w:t xml:space="preserve">1 </w:t>
      </w:r>
      <w:r>
        <w:t>(</w:t>
      </w:r>
      <w:r w:rsidR="00402F8F">
        <w:t>5,5</w:t>
      </w:r>
      <w:r>
        <w:t>%);</w:t>
      </w:r>
    </w:p>
    <w:p w:rsidR="00DA496A" w:rsidRDefault="00BF04D8" w:rsidP="009C4726">
      <w:r>
        <w:t>другой</w:t>
      </w:r>
      <w:r w:rsidR="00DA496A">
        <w:t xml:space="preserve"> </w:t>
      </w:r>
      <w:r w:rsidR="008A1A12">
        <w:t xml:space="preserve">– </w:t>
      </w:r>
      <w:r w:rsidR="00402F8F">
        <w:rPr>
          <w:b/>
        </w:rPr>
        <w:t>14</w:t>
      </w:r>
      <w:r w:rsidR="002F574E">
        <w:rPr>
          <w:b/>
        </w:rPr>
        <w:t xml:space="preserve"> </w:t>
      </w:r>
      <w:r w:rsidR="008A1A12">
        <w:t>(</w:t>
      </w:r>
      <w:r w:rsidR="00402F8F">
        <w:t>77,8</w:t>
      </w:r>
      <w:r w:rsidR="008A1A12">
        <w:t>%).</w:t>
      </w:r>
      <w:r w:rsidR="00DA496A">
        <w:t xml:space="preserve"> </w:t>
      </w:r>
    </w:p>
    <w:p w:rsidR="00AD45B7" w:rsidRDefault="00AD45B7" w:rsidP="009C4726"/>
    <w:p w:rsidR="00AD45B7" w:rsidRDefault="00A032D7" w:rsidP="009C4726">
      <w:r>
        <w:rPr>
          <w:noProof/>
        </w:rPr>
        <w:lastRenderedPageBreak/>
        <w:drawing>
          <wp:inline distT="0" distB="0" distL="0" distR="0">
            <wp:extent cx="5486400" cy="3200400"/>
            <wp:effectExtent l="1905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D45B7" w:rsidRDefault="00AD45B7" w:rsidP="009C4726"/>
    <w:p w:rsidR="00AD45B7" w:rsidRDefault="00AD45B7" w:rsidP="009C4726"/>
    <w:p w:rsidR="00A032D7" w:rsidRDefault="00A032D7" w:rsidP="009C4726">
      <w:r>
        <w:rPr>
          <w:noProof/>
        </w:rPr>
        <w:drawing>
          <wp:inline distT="0" distB="0" distL="0" distR="0">
            <wp:extent cx="5603443" cy="2955341"/>
            <wp:effectExtent l="19050" t="0" r="0" b="0"/>
            <wp:docPr id="6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032D7" w:rsidRDefault="00A032D7" w:rsidP="009C4726"/>
    <w:p w:rsidR="00EC75EA" w:rsidRPr="00A3187C" w:rsidRDefault="00EC75EA" w:rsidP="009C4726">
      <w:r>
        <w:t>Анализ поступления</w:t>
      </w:r>
      <w:r w:rsidR="009B1145">
        <w:t xml:space="preserve"> </w:t>
      </w:r>
      <w:r w:rsidR="00224035">
        <w:t>в</w:t>
      </w:r>
      <w:r>
        <w:t xml:space="preserve"> </w:t>
      </w:r>
      <w:r w:rsidR="00224035">
        <w:rPr>
          <w:b/>
        </w:rPr>
        <w:t>3</w:t>
      </w:r>
      <w:r w:rsidRPr="001D6F94">
        <w:rPr>
          <w:b/>
        </w:rPr>
        <w:t xml:space="preserve"> квартале 20</w:t>
      </w:r>
      <w:r w:rsidR="009B1145" w:rsidRPr="001D6F94">
        <w:rPr>
          <w:b/>
        </w:rPr>
        <w:t>1</w:t>
      </w:r>
      <w:r w:rsidR="00ED6AA9" w:rsidRPr="00ED6AA9">
        <w:rPr>
          <w:b/>
        </w:rPr>
        <w:t>9</w:t>
      </w:r>
      <w:r w:rsidRPr="001D6F94">
        <w:rPr>
          <w:b/>
        </w:rPr>
        <w:t xml:space="preserve"> года</w:t>
      </w:r>
      <w:r>
        <w:t xml:space="preserve"> обращений граждан по территориальному признаку показал, что </w:t>
      </w:r>
      <w:r w:rsidR="00224035">
        <w:t xml:space="preserve">все </w:t>
      </w:r>
      <w:r>
        <w:t>обращени</w:t>
      </w:r>
      <w:r w:rsidR="002F574E">
        <w:t>я</w:t>
      </w:r>
      <w:r>
        <w:t xml:space="preserve"> поступил</w:t>
      </w:r>
      <w:r w:rsidR="002F574E">
        <w:t>и</w:t>
      </w:r>
      <w:r>
        <w:t xml:space="preserve"> </w:t>
      </w:r>
      <w:r w:rsidR="00224035">
        <w:t xml:space="preserve">от граждан </w:t>
      </w:r>
      <w:r w:rsidR="001D6F94" w:rsidRPr="00A3187C">
        <w:t>Камчатск</w:t>
      </w:r>
      <w:r w:rsidR="00224035">
        <w:t>ого</w:t>
      </w:r>
      <w:r w:rsidR="001D6F94" w:rsidRPr="00A3187C">
        <w:t xml:space="preserve"> кра</w:t>
      </w:r>
      <w:r w:rsidR="00224035">
        <w:t>я</w:t>
      </w:r>
      <w:r w:rsidR="002E18CA" w:rsidRPr="00A3187C">
        <w:t xml:space="preserve"> </w:t>
      </w:r>
      <w:r w:rsidR="002F574E" w:rsidRPr="00A3187C">
        <w:t>–</w:t>
      </w:r>
      <w:r w:rsidR="002E18CA" w:rsidRPr="00A3187C">
        <w:t xml:space="preserve"> </w:t>
      </w:r>
      <w:r w:rsidR="00224035">
        <w:rPr>
          <w:b/>
        </w:rPr>
        <w:t>18</w:t>
      </w:r>
      <w:r w:rsidR="002F574E" w:rsidRPr="00A3187C">
        <w:rPr>
          <w:b/>
        </w:rPr>
        <w:t xml:space="preserve"> </w:t>
      </w:r>
      <w:r w:rsidR="002E18CA" w:rsidRPr="00A3187C">
        <w:t>(</w:t>
      </w:r>
      <w:r w:rsidR="00224035">
        <w:t>100</w:t>
      </w:r>
      <w:r w:rsidR="002E18CA" w:rsidRPr="00A3187C">
        <w:t>%)</w:t>
      </w:r>
      <w:r w:rsidR="00055998" w:rsidRPr="00A3187C">
        <w:t>.</w:t>
      </w:r>
    </w:p>
    <w:p w:rsidR="00BF04D8" w:rsidRPr="00594E53" w:rsidRDefault="00224035" w:rsidP="009C4726">
      <w:r>
        <w:t>В</w:t>
      </w:r>
      <w:r w:rsidR="002F4BEE" w:rsidRPr="00594E53">
        <w:t xml:space="preserve"> </w:t>
      </w:r>
      <w:r>
        <w:rPr>
          <w:b/>
        </w:rPr>
        <w:t>3</w:t>
      </w:r>
      <w:r w:rsidR="002F4BEE" w:rsidRPr="00594E53">
        <w:rPr>
          <w:b/>
        </w:rPr>
        <w:t xml:space="preserve"> квартале 20</w:t>
      </w:r>
      <w:r w:rsidR="009B1145" w:rsidRPr="00594E53">
        <w:rPr>
          <w:b/>
        </w:rPr>
        <w:t>1</w:t>
      </w:r>
      <w:r w:rsidR="000F5E4E">
        <w:rPr>
          <w:b/>
        </w:rPr>
        <w:t>9</w:t>
      </w:r>
      <w:r w:rsidR="002F4BEE" w:rsidRPr="00594E53">
        <w:rPr>
          <w:b/>
        </w:rPr>
        <w:t xml:space="preserve"> года</w:t>
      </w:r>
      <w:r w:rsidR="002F4BEE" w:rsidRPr="00594E53">
        <w:t xml:space="preserve"> рассмотрено </w:t>
      </w:r>
      <w:r>
        <w:rPr>
          <w:b/>
        </w:rPr>
        <w:t>18</w:t>
      </w:r>
      <w:r w:rsidR="002F4BEE" w:rsidRPr="00594E53">
        <w:t xml:space="preserve"> обращени</w:t>
      </w:r>
      <w:r w:rsidR="00055998" w:rsidRPr="00594E53">
        <w:t>й</w:t>
      </w:r>
      <w:r w:rsidR="002F4BEE" w:rsidRPr="00594E53">
        <w:t xml:space="preserve"> граждан, </w:t>
      </w:r>
      <w:r w:rsidR="00AA03FD">
        <w:t xml:space="preserve">так же, как и в </w:t>
      </w:r>
      <w:r>
        <w:rPr>
          <w:b/>
        </w:rPr>
        <w:t>3</w:t>
      </w:r>
      <w:r w:rsidR="00963C5B" w:rsidRPr="00594E53">
        <w:rPr>
          <w:b/>
        </w:rPr>
        <w:t xml:space="preserve"> квартале 201</w:t>
      </w:r>
      <w:r w:rsidR="002872DF">
        <w:rPr>
          <w:b/>
        </w:rPr>
        <w:t>8</w:t>
      </w:r>
      <w:r w:rsidR="00F63B06">
        <w:rPr>
          <w:b/>
        </w:rPr>
        <w:t xml:space="preserve"> </w:t>
      </w:r>
      <w:r w:rsidR="00963C5B" w:rsidRPr="00594E53">
        <w:rPr>
          <w:b/>
        </w:rPr>
        <w:t>года</w:t>
      </w:r>
      <w:r w:rsidR="00963C5B" w:rsidRPr="00594E53">
        <w:t xml:space="preserve">. Коллективных обращений не было. </w:t>
      </w:r>
      <w:r w:rsidR="00BF04D8" w:rsidRPr="00594E53">
        <w:t>О</w:t>
      </w:r>
      <w:r w:rsidR="003C2A9F" w:rsidRPr="00594E53">
        <w:t>бращений граждан</w:t>
      </w:r>
      <w:r w:rsidR="00BF04D8" w:rsidRPr="00594E53">
        <w:t>,</w:t>
      </w:r>
      <w:r w:rsidR="003C2A9F" w:rsidRPr="00594E53">
        <w:t xml:space="preserve"> </w:t>
      </w:r>
      <w:r w:rsidR="00BF04D8" w:rsidRPr="00594E53">
        <w:t>находящихся</w:t>
      </w:r>
      <w:r w:rsidR="003C2A9F" w:rsidRPr="00594E53">
        <w:t xml:space="preserve"> на рассмотрении </w:t>
      </w:r>
      <w:r w:rsidR="0054462B" w:rsidRPr="00594E53">
        <w:rPr>
          <w:b/>
        </w:rPr>
        <w:t>на 1</w:t>
      </w:r>
      <w:r w:rsidR="00055998" w:rsidRPr="00594E53">
        <w:rPr>
          <w:b/>
        </w:rPr>
        <w:t xml:space="preserve"> </w:t>
      </w:r>
      <w:r>
        <w:rPr>
          <w:b/>
        </w:rPr>
        <w:t>октября</w:t>
      </w:r>
      <w:r w:rsidR="0054462B" w:rsidRPr="00594E53">
        <w:rPr>
          <w:b/>
        </w:rPr>
        <w:t xml:space="preserve"> 201</w:t>
      </w:r>
      <w:r w:rsidR="002F1C27" w:rsidRPr="00594E53">
        <w:rPr>
          <w:b/>
        </w:rPr>
        <w:t>9</w:t>
      </w:r>
      <w:r w:rsidR="0054462B" w:rsidRPr="00594E53">
        <w:rPr>
          <w:b/>
        </w:rPr>
        <w:t xml:space="preserve"> года</w:t>
      </w:r>
      <w:r w:rsidR="00034BCB" w:rsidRPr="00594E53">
        <w:rPr>
          <w:b/>
        </w:rPr>
        <w:t>,</w:t>
      </w:r>
      <w:r w:rsidR="00BF04D8" w:rsidRPr="00594E53">
        <w:t xml:space="preserve"> нет.</w:t>
      </w:r>
      <w:r w:rsidR="003C2A9F" w:rsidRPr="00594E53">
        <w:t xml:space="preserve"> </w:t>
      </w:r>
    </w:p>
    <w:p w:rsidR="003C2A9F" w:rsidRPr="00594E53" w:rsidRDefault="00763E75" w:rsidP="009C4726">
      <w:r w:rsidRPr="00594E53">
        <w:t xml:space="preserve">По результатам рассмотрения обращений граждан </w:t>
      </w:r>
      <w:r w:rsidR="00224035">
        <w:t>в</w:t>
      </w:r>
      <w:r w:rsidRPr="00594E53">
        <w:t xml:space="preserve"> </w:t>
      </w:r>
      <w:r w:rsidR="00224035">
        <w:rPr>
          <w:b/>
        </w:rPr>
        <w:t>3</w:t>
      </w:r>
      <w:r w:rsidRPr="00594E53">
        <w:rPr>
          <w:b/>
        </w:rPr>
        <w:t xml:space="preserve"> квартале 20</w:t>
      </w:r>
      <w:r w:rsidR="009B1145" w:rsidRPr="00594E53">
        <w:rPr>
          <w:b/>
        </w:rPr>
        <w:t>1</w:t>
      </w:r>
      <w:r w:rsidR="000F5E4E">
        <w:rPr>
          <w:b/>
        </w:rPr>
        <w:t>9</w:t>
      </w:r>
      <w:r w:rsidRPr="00594E53">
        <w:rPr>
          <w:b/>
        </w:rPr>
        <w:t xml:space="preserve"> года</w:t>
      </w:r>
      <w:r w:rsidRPr="00594E53">
        <w:t xml:space="preserve"> дан</w:t>
      </w:r>
      <w:r w:rsidR="00055998" w:rsidRPr="00594E53">
        <w:t>о</w:t>
      </w:r>
      <w:r w:rsidRPr="00594E53">
        <w:t xml:space="preserve"> </w:t>
      </w:r>
      <w:r w:rsidR="00224035">
        <w:rPr>
          <w:b/>
        </w:rPr>
        <w:t>18</w:t>
      </w:r>
      <w:r w:rsidR="00515E8F" w:rsidRPr="00594E53">
        <w:t xml:space="preserve"> </w:t>
      </w:r>
      <w:r w:rsidR="002F574E" w:rsidRPr="00594E53">
        <w:t>ответ</w:t>
      </w:r>
      <w:r w:rsidR="00055998" w:rsidRPr="00594E53">
        <w:t>ов</w:t>
      </w:r>
      <w:r w:rsidRPr="00594E53">
        <w:t xml:space="preserve">, </w:t>
      </w:r>
      <w:r w:rsidR="00AA03FD">
        <w:t xml:space="preserve">такое же количество ответов, как и в </w:t>
      </w:r>
      <w:r w:rsidR="00AA03FD">
        <w:rPr>
          <w:b/>
        </w:rPr>
        <w:t>3</w:t>
      </w:r>
      <w:r w:rsidRPr="00594E53">
        <w:rPr>
          <w:b/>
        </w:rPr>
        <w:t xml:space="preserve"> квартале </w:t>
      </w:r>
      <w:r w:rsidR="00515E8F" w:rsidRPr="00594E53">
        <w:rPr>
          <w:b/>
        </w:rPr>
        <w:t>201</w:t>
      </w:r>
      <w:r w:rsidR="002872DF">
        <w:rPr>
          <w:b/>
        </w:rPr>
        <w:t>8</w:t>
      </w:r>
      <w:r w:rsidRPr="00594E53">
        <w:rPr>
          <w:b/>
        </w:rPr>
        <w:t xml:space="preserve"> года</w:t>
      </w:r>
      <w:r w:rsidRPr="00594E53">
        <w:t>,</w:t>
      </w:r>
      <w:r w:rsidR="004C3ADD" w:rsidRPr="00594E53">
        <w:t xml:space="preserve"> </w:t>
      </w:r>
      <w:r w:rsidRPr="00594E53">
        <w:t>из них:</w:t>
      </w:r>
    </w:p>
    <w:p w:rsidR="00763E75" w:rsidRPr="00594E53" w:rsidRDefault="00763E75" w:rsidP="009C4726">
      <w:r w:rsidRPr="00594E53">
        <w:t xml:space="preserve">письменных - </w:t>
      </w:r>
      <w:r w:rsidR="00224035">
        <w:rPr>
          <w:b/>
        </w:rPr>
        <w:t>18</w:t>
      </w:r>
      <w:r w:rsidRPr="00594E53">
        <w:t xml:space="preserve"> (</w:t>
      </w:r>
      <w:r w:rsidR="007D1070" w:rsidRPr="00594E53">
        <w:t>100</w:t>
      </w:r>
      <w:r w:rsidRPr="00594E53">
        <w:t>%)</w:t>
      </w:r>
      <w:r w:rsidR="00515E8F" w:rsidRPr="00594E53">
        <w:t>.</w:t>
      </w:r>
    </w:p>
    <w:p w:rsidR="008C45AB" w:rsidRDefault="008C45AB" w:rsidP="009C4726">
      <w:r>
        <w:t>По характеру принятых по результатам рассмотрения обращений решений:</w:t>
      </w:r>
    </w:p>
    <w:p w:rsidR="00697922" w:rsidRDefault="00697922" w:rsidP="009C4726">
      <w:r>
        <w:lastRenderedPageBreak/>
        <w:t xml:space="preserve">«Дан ответ автору» – </w:t>
      </w:r>
      <w:r w:rsidR="00F63B06">
        <w:rPr>
          <w:b/>
        </w:rPr>
        <w:t>3</w:t>
      </w:r>
      <w:r>
        <w:t xml:space="preserve"> (</w:t>
      </w:r>
      <w:r w:rsidR="00AA03FD">
        <w:t>16,7</w:t>
      </w:r>
      <w:r>
        <w:t>%);</w:t>
      </w:r>
    </w:p>
    <w:p w:rsidR="00055998" w:rsidRDefault="00BF04D8" w:rsidP="009C4726">
      <w:r>
        <w:t>«</w:t>
      </w:r>
      <w:r w:rsidR="00697922">
        <w:t>П</w:t>
      </w:r>
      <w:r>
        <w:t>редоставлена госу</w:t>
      </w:r>
      <w:r w:rsidR="00697922">
        <w:t>дарственная у</w:t>
      </w:r>
      <w:r>
        <w:t xml:space="preserve">слуга» – </w:t>
      </w:r>
      <w:r w:rsidR="00AA03FD">
        <w:rPr>
          <w:b/>
        </w:rPr>
        <w:t>15</w:t>
      </w:r>
      <w:r>
        <w:t xml:space="preserve"> (</w:t>
      </w:r>
      <w:r w:rsidR="00AA03FD">
        <w:t>83,3</w:t>
      </w:r>
      <w:r>
        <w:t>%)</w:t>
      </w:r>
      <w:r w:rsidR="002F1C27">
        <w:t>.</w:t>
      </w:r>
    </w:p>
    <w:p w:rsidR="008C45AB" w:rsidRDefault="008C45AB" w:rsidP="009C4726">
      <w:r>
        <w:t>По срокам рассмотрения обращений граждан:</w:t>
      </w:r>
    </w:p>
    <w:p w:rsidR="008C45AB" w:rsidRDefault="008C45AB" w:rsidP="009C4726">
      <w:r>
        <w:t xml:space="preserve">рассмотрено в установленные сроки - </w:t>
      </w:r>
      <w:r w:rsidR="00AA03FD">
        <w:rPr>
          <w:b/>
        </w:rPr>
        <w:t>18</w:t>
      </w:r>
      <w:r>
        <w:t xml:space="preserve"> (</w:t>
      </w:r>
      <w:r w:rsidR="00515E8F">
        <w:t>100</w:t>
      </w:r>
      <w:r>
        <w:t>%)</w:t>
      </w:r>
      <w:r w:rsidR="008B2B11">
        <w:t>.</w:t>
      </w:r>
    </w:p>
    <w:p w:rsidR="008C45AB" w:rsidRDefault="008C45AB" w:rsidP="008C45AB">
      <w:r>
        <w:t>По форме рассмотрения обращений граждан:</w:t>
      </w:r>
    </w:p>
    <w:p w:rsidR="008C45AB" w:rsidRDefault="008C45AB" w:rsidP="008C45AB">
      <w:r>
        <w:t xml:space="preserve">без участия заявителя - </w:t>
      </w:r>
      <w:r w:rsidR="00AA03FD">
        <w:rPr>
          <w:b/>
        </w:rPr>
        <w:t>18</w:t>
      </w:r>
      <w:r>
        <w:t xml:space="preserve"> (</w:t>
      </w:r>
      <w:r w:rsidR="00515E8F">
        <w:t>100</w:t>
      </w:r>
      <w:r>
        <w:t>%).</w:t>
      </w:r>
    </w:p>
    <w:p w:rsidR="00AE7D2B" w:rsidRPr="00BA558F" w:rsidRDefault="00AE7D2B" w:rsidP="008C45AB">
      <w:r w:rsidRPr="00BA558F">
        <w:t>По должностному лицу, подписавшему ответ:</w:t>
      </w:r>
    </w:p>
    <w:p w:rsidR="00594E53" w:rsidRDefault="00594E53" w:rsidP="008C45AB">
      <w:r w:rsidRPr="00BA558F">
        <w:t xml:space="preserve">за подписью руководителя </w:t>
      </w:r>
      <w:proofErr w:type="spellStart"/>
      <w:r w:rsidRPr="00BA558F">
        <w:t>Камчатстата</w:t>
      </w:r>
      <w:proofErr w:type="spellEnd"/>
      <w:r w:rsidRPr="00BA558F">
        <w:t xml:space="preserve"> – </w:t>
      </w:r>
      <w:r w:rsidR="00AA03FD">
        <w:rPr>
          <w:b/>
        </w:rPr>
        <w:t>7</w:t>
      </w:r>
      <w:r w:rsidRPr="00BA558F">
        <w:rPr>
          <w:b/>
        </w:rPr>
        <w:t xml:space="preserve"> </w:t>
      </w:r>
      <w:r w:rsidRPr="00BA558F">
        <w:t>(</w:t>
      </w:r>
      <w:r w:rsidR="00AA03FD">
        <w:t>38,9</w:t>
      </w:r>
      <w:r w:rsidRPr="00BA558F">
        <w:t>%)</w:t>
      </w:r>
      <w:r w:rsidR="00F63B06">
        <w:t>;</w:t>
      </w:r>
    </w:p>
    <w:p w:rsidR="00F63B06" w:rsidRPr="00B16E29" w:rsidRDefault="00F63B06" w:rsidP="008C45AB">
      <w:r w:rsidRPr="00BA558F">
        <w:t xml:space="preserve">за подписью </w:t>
      </w:r>
      <w:r>
        <w:t xml:space="preserve">заместителя </w:t>
      </w:r>
      <w:r w:rsidRPr="00BA558F">
        <w:t xml:space="preserve">руководителя </w:t>
      </w:r>
      <w:proofErr w:type="spellStart"/>
      <w:r w:rsidRPr="00BA558F">
        <w:t>Камчатстата</w:t>
      </w:r>
      <w:proofErr w:type="spellEnd"/>
      <w:r>
        <w:t xml:space="preserve"> - </w:t>
      </w:r>
      <w:r w:rsidR="00AA03FD">
        <w:rPr>
          <w:b/>
        </w:rPr>
        <w:t>11</w:t>
      </w:r>
      <w:r w:rsidRPr="00BA558F">
        <w:rPr>
          <w:b/>
        </w:rPr>
        <w:t xml:space="preserve"> </w:t>
      </w:r>
      <w:r w:rsidRPr="00BA558F">
        <w:t>(</w:t>
      </w:r>
      <w:r w:rsidR="00AA03FD">
        <w:t>61,1</w:t>
      </w:r>
      <w:r w:rsidRPr="00BA558F">
        <w:t>%)</w:t>
      </w:r>
      <w:r>
        <w:t>.</w:t>
      </w:r>
    </w:p>
    <w:p w:rsidR="00B16E29" w:rsidRDefault="00B16E29" w:rsidP="00B16E29">
      <w:pPr>
        <w:widowControl w:val="0"/>
      </w:pPr>
      <w:r>
        <w:t>Л</w:t>
      </w:r>
      <w:r w:rsidRPr="00BF0282">
        <w:t xml:space="preserve">ичный прием граждан руководством </w:t>
      </w:r>
      <w:proofErr w:type="spellStart"/>
      <w:r>
        <w:t>Камчатстата</w:t>
      </w:r>
      <w:proofErr w:type="spellEnd"/>
      <w:r w:rsidRPr="00BF0282">
        <w:t xml:space="preserve"> </w:t>
      </w:r>
      <w:r w:rsidR="00996471">
        <w:t>в</w:t>
      </w:r>
      <w:r>
        <w:t xml:space="preserve"> </w:t>
      </w:r>
      <w:r w:rsidR="00996471">
        <w:t>3</w:t>
      </w:r>
      <w:r>
        <w:t xml:space="preserve"> квартале 2019 года </w:t>
      </w:r>
      <w:r>
        <w:br/>
      </w:r>
      <w:r w:rsidRPr="00BF0282">
        <w:t>не проводился по причине отсутствия заявителей.</w:t>
      </w:r>
    </w:p>
    <w:p w:rsidR="00697922" w:rsidRDefault="00EE3703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обращения граждан, поступившие </w:t>
      </w:r>
      <w:r w:rsidR="00996471">
        <w:rPr>
          <w:sz w:val="28"/>
          <w:szCs w:val="28"/>
        </w:rPr>
        <w:t>в</w:t>
      </w:r>
      <w:r w:rsidRPr="00EE3703">
        <w:rPr>
          <w:sz w:val="28"/>
          <w:szCs w:val="28"/>
        </w:rPr>
        <w:t xml:space="preserve"> </w:t>
      </w:r>
      <w:r w:rsidR="00996471">
        <w:rPr>
          <w:b/>
          <w:sz w:val="28"/>
          <w:szCs w:val="28"/>
        </w:rPr>
        <w:t>3</w:t>
      </w:r>
      <w:r w:rsidRPr="006E7B40">
        <w:rPr>
          <w:b/>
          <w:sz w:val="28"/>
          <w:szCs w:val="28"/>
        </w:rPr>
        <w:t xml:space="preserve"> квартале 20</w:t>
      </w:r>
      <w:r w:rsidR="009B1145" w:rsidRPr="006E7B40">
        <w:rPr>
          <w:b/>
          <w:sz w:val="28"/>
          <w:szCs w:val="28"/>
        </w:rPr>
        <w:t>1</w:t>
      </w:r>
      <w:r w:rsidR="000F5E4E">
        <w:rPr>
          <w:b/>
          <w:sz w:val="28"/>
          <w:szCs w:val="28"/>
        </w:rPr>
        <w:t>9</w:t>
      </w:r>
      <w:r w:rsidRPr="006E7B40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, являются предметом ведения </w:t>
      </w:r>
      <w:r w:rsidRPr="00EE3703">
        <w:rPr>
          <w:sz w:val="28"/>
          <w:szCs w:val="28"/>
        </w:rPr>
        <w:t>Российской Федерации</w:t>
      </w:r>
      <w:r w:rsidR="009B1145">
        <w:rPr>
          <w:sz w:val="28"/>
          <w:szCs w:val="28"/>
        </w:rPr>
        <w:t xml:space="preserve">. </w:t>
      </w:r>
    </w:p>
    <w:p w:rsidR="002E18CA" w:rsidRDefault="002E18CA" w:rsidP="00EE58B6">
      <w:pPr>
        <w:pStyle w:val="Default"/>
        <w:ind w:firstLine="709"/>
        <w:jc w:val="both"/>
        <w:rPr>
          <w:sz w:val="28"/>
          <w:szCs w:val="28"/>
        </w:rPr>
      </w:pPr>
    </w:p>
    <w:sectPr w:rsidR="002E18CA" w:rsidSect="00032F64">
      <w:headerReference w:type="default" r:id="rId11"/>
      <w:footnotePr>
        <w:numRestart w:val="eachPage"/>
      </w:footnotePr>
      <w:pgSz w:w="11906" w:h="16838"/>
      <w:pgMar w:top="709" w:right="850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685" w:rsidRDefault="006E1685" w:rsidP="00CD7746">
      <w:r>
        <w:separator/>
      </w:r>
    </w:p>
  </w:endnote>
  <w:endnote w:type="continuationSeparator" w:id="0">
    <w:p w:rsidR="006E1685" w:rsidRDefault="006E1685" w:rsidP="00CD77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685" w:rsidRDefault="006E1685" w:rsidP="00CD7746">
      <w:r>
        <w:separator/>
      </w:r>
    </w:p>
  </w:footnote>
  <w:footnote w:type="continuationSeparator" w:id="0">
    <w:p w:rsidR="006E1685" w:rsidRDefault="006E1685" w:rsidP="00CD7746">
      <w:r>
        <w:continuationSeparator/>
      </w:r>
    </w:p>
  </w:footnote>
  <w:footnote w:id="1">
    <w:p w:rsidR="00697922" w:rsidRDefault="00697922">
      <w:pPr>
        <w:pStyle w:val="a5"/>
      </w:pPr>
      <w:r>
        <w:rPr>
          <w:rStyle w:val="a7"/>
        </w:rPr>
        <w:footnoteRef/>
      </w:r>
      <w:r>
        <w:t xml:space="preserve"> Здесь и далее по тексту в скобках указывается % от общего количества поступивших (рассмотренных) обращений или в субпозиции % от показателя позиции в тех случаях, где это имеется.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2798301"/>
      <w:docPartObj>
        <w:docPartGallery w:val="Page Numbers (Top of Page)"/>
        <w:docPartUnique/>
      </w:docPartObj>
    </w:sdtPr>
    <w:sdtContent>
      <w:p w:rsidR="00697922" w:rsidRDefault="00437C71">
        <w:pPr>
          <w:pStyle w:val="a8"/>
          <w:jc w:val="center"/>
        </w:pPr>
        <w:fldSimple w:instr="PAGE   \* MERGEFORMAT">
          <w:r w:rsidR="002D561D">
            <w:rPr>
              <w:noProof/>
            </w:rPr>
            <w:t>3</w:t>
          </w:r>
        </w:fldSimple>
      </w:p>
    </w:sdtContent>
  </w:sdt>
  <w:p w:rsidR="00697922" w:rsidRDefault="0069792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41F64388"/>
    <w:multiLevelType w:val="hybridMultilevel"/>
    <w:tmpl w:val="32CAE66C"/>
    <w:lvl w:ilvl="0" w:tplc="28F813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9C4726"/>
    <w:rsid w:val="00005BA0"/>
    <w:rsid w:val="00012E5D"/>
    <w:rsid w:val="00014C1E"/>
    <w:rsid w:val="00032F64"/>
    <w:rsid w:val="00033638"/>
    <w:rsid w:val="00034BCB"/>
    <w:rsid w:val="00045051"/>
    <w:rsid w:val="00055998"/>
    <w:rsid w:val="0006348E"/>
    <w:rsid w:val="00086E38"/>
    <w:rsid w:val="000C44B6"/>
    <w:rsid w:val="000D1796"/>
    <w:rsid w:val="000D23B0"/>
    <w:rsid w:val="000D42CA"/>
    <w:rsid w:val="000F5E4E"/>
    <w:rsid w:val="00112A9D"/>
    <w:rsid w:val="00117A51"/>
    <w:rsid w:val="00136630"/>
    <w:rsid w:val="001378F2"/>
    <w:rsid w:val="001428B4"/>
    <w:rsid w:val="001445DE"/>
    <w:rsid w:val="00145B64"/>
    <w:rsid w:val="0019210A"/>
    <w:rsid w:val="001A33CB"/>
    <w:rsid w:val="001A76BB"/>
    <w:rsid w:val="001B2488"/>
    <w:rsid w:val="001C2FD0"/>
    <w:rsid w:val="001D6F94"/>
    <w:rsid w:val="002031DB"/>
    <w:rsid w:val="002131A8"/>
    <w:rsid w:val="002215DA"/>
    <w:rsid w:val="00224035"/>
    <w:rsid w:val="00247244"/>
    <w:rsid w:val="00261BB3"/>
    <w:rsid w:val="002729F7"/>
    <w:rsid w:val="00277E70"/>
    <w:rsid w:val="00280953"/>
    <w:rsid w:val="002872DF"/>
    <w:rsid w:val="002941A4"/>
    <w:rsid w:val="002A71C1"/>
    <w:rsid w:val="002C40FF"/>
    <w:rsid w:val="002D561D"/>
    <w:rsid w:val="002D7EBB"/>
    <w:rsid w:val="002E18CA"/>
    <w:rsid w:val="002F1628"/>
    <w:rsid w:val="002F1C27"/>
    <w:rsid w:val="002F4BEE"/>
    <w:rsid w:val="002F574E"/>
    <w:rsid w:val="003207F3"/>
    <w:rsid w:val="00322AB1"/>
    <w:rsid w:val="00326E38"/>
    <w:rsid w:val="00341395"/>
    <w:rsid w:val="00342E4C"/>
    <w:rsid w:val="003475A1"/>
    <w:rsid w:val="00365C1B"/>
    <w:rsid w:val="00371B6D"/>
    <w:rsid w:val="00375C94"/>
    <w:rsid w:val="00385582"/>
    <w:rsid w:val="00395C36"/>
    <w:rsid w:val="003C1206"/>
    <w:rsid w:val="003C2A9F"/>
    <w:rsid w:val="003D1277"/>
    <w:rsid w:val="003F4840"/>
    <w:rsid w:val="003F7D31"/>
    <w:rsid w:val="00402F8F"/>
    <w:rsid w:val="00407373"/>
    <w:rsid w:val="0040778A"/>
    <w:rsid w:val="00431F67"/>
    <w:rsid w:val="00435BDA"/>
    <w:rsid w:val="00437C71"/>
    <w:rsid w:val="004544A9"/>
    <w:rsid w:val="00494967"/>
    <w:rsid w:val="00497830"/>
    <w:rsid w:val="004B0A57"/>
    <w:rsid w:val="004B580D"/>
    <w:rsid w:val="004C1ABA"/>
    <w:rsid w:val="004C3ADD"/>
    <w:rsid w:val="004F57CC"/>
    <w:rsid w:val="00515E8F"/>
    <w:rsid w:val="00520A2D"/>
    <w:rsid w:val="0054462B"/>
    <w:rsid w:val="00547970"/>
    <w:rsid w:val="00552C11"/>
    <w:rsid w:val="0056017B"/>
    <w:rsid w:val="00567D2A"/>
    <w:rsid w:val="00573423"/>
    <w:rsid w:val="0057780B"/>
    <w:rsid w:val="00594E53"/>
    <w:rsid w:val="005975A5"/>
    <w:rsid w:val="005A34B7"/>
    <w:rsid w:val="005B54BE"/>
    <w:rsid w:val="005C229A"/>
    <w:rsid w:val="005E3537"/>
    <w:rsid w:val="00600058"/>
    <w:rsid w:val="0060354D"/>
    <w:rsid w:val="00605B00"/>
    <w:rsid w:val="00605FC6"/>
    <w:rsid w:val="006320E1"/>
    <w:rsid w:val="0063238F"/>
    <w:rsid w:val="006505E9"/>
    <w:rsid w:val="0065169B"/>
    <w:rsid w:val="00656169"/>
    <w:rsid w:val="00660D7C"/>
    <w:rsid w:val="006801F8"/>
    <w:rsid w:val="0069439A"/>
    <w:rsid w:val="00697922"/>
    <w:rsid w:val="006B588A"/>
    <w:rsid w:val="006E1685"/>
    <w:rsid w:val="006E7B40"/>
    <w:rsid w:val="006F7449"/>
    <w:rsid w:val="00712CC2"/>
    <w:rsid w:val="00717E94"/>
    <w:rsid w:val="0072111A"/>
    <w:rsid w:val="00724FF1"/>
    <w:rsid w:val="00732057"/>
    <w:rsid w:val="007478C8"/>
    <w:rsid w:val="00753ABE"/>
    <w:rsid w:val="007609D2"/>
    <w:rsid w:val="00763E75"/>
    <w:rsid w:val="00770527"/>
    <w:rsid w:val="00775E07"/>
    <w:rsid w:val="00784100"/>
    <w:rsid w:val="00786548"/>
    <w:rsid w:val="007C0627"/>
    <w:rsid w:val="007D1070"/>
    <w:rsid w:val="007D38F9"/>
    <w:rsid w:val="00822055"/>
    <w:rsid w:val="0086148E"/>
    <w:rsid w:val="008A1A12"/>
    <w:rsid w:val="008A34D3"/>
    <w:rsid w:val="008A67E9"/>
    <w:rsid w:val="008B2B11"/>
    <w:rsid w:val="008B56DA"/>
    <w:rsid w:val="008C45AB"/>
    <w:rsid w:val="008C695F"/>
    <w:rsid w:val="00912071"/>
    <w:rsid w:val="009136BD"/>
    <w:rsid w:val="00935793"/>
    <w:rsid w:val="00963C5B"/>
    <w:rsid w:val="009661E0"/>
    <w:rsid w:val="0098157E"/>
    <w:rsid w:val="009947EC"/>
    <w:rsid w:val="00995AF0"/>
    <w:rsid w:val="00996471"/>
    <w:rsid w:val="009A05C4"/>
    <w:rsid w:val="009A14A2"/>
    <w:rsid w:val="009A1C7F"/>
    <w:rsid w:val="009B1145"/>
    <w:rsid w:val="009B6C74"/>
    <w:rsid w:val="009C4726"/>
    <w:rsid w:val="009C6674"/>
    <w:rsid w:val="009F4D42"/>
    <w:rsid w:val="00A032D7"/>
    <w:rsid w:val="00A3187C"/>
    <w:rsid w:val="00A46789"/>
    <w:rsid w:val="00A61728"/>
    <w:rsid w:val="00AA03FD"/>
    <w:rsid w:val="00AA4871"/>
    <w:rsid w:val="00AA7896"/>
    <w:rsid w:val="00AB304D"/>
    <w:rsid w:val="00AB4DFC"/>
    <w:rsid w:val="00AD2A25"/>
    <w:rsid w:val="00AD45B7"/>
    <w:rsid w:val="00AE14DF"/>
    <w:rsid w:val="00AE65D1"/>
    <w:rsid w:val="00AE7D2B"/>
    <w:rsid w:val="00AF24FA"/>
    <w:rsid w:val="00B00A79"/>
    <w:rsid w:val="00B02F24"/>
    <w:rsid w:val="00B16E29"/>
    <w:rsid w:val="00B17AB0"/>
    <w:rsid w:val="00B26DB3"/>
    <w:rsid w:val="00B45A12"/>
    <w:rsid w:val="00B5249B"/>
    <w:rsid w:val="00B96377"/>
    <w:rsid w:val="00BA558F"/>
    <w:rsid w:val="00BC24CF"/>
    <w:rsid w:val="00BD0D2C"/>
    <w:rsid w:val="00BD19AB"/>
    <w:rsid w:val="00BD7767"/>
    <w:rsid w:val="00BE1218"/>
    <w:rsid w:val="00BF04D8"/>
    <w:rsid w:val="00BF2461"/>
    <w:rsid w:val="00BF73AE"/>
    <w:rsid w:val="00C26A25"/>
    <w:rsid w:val="00C40318"/>
    <w:rsid w:val="00C62365"/>
    <w:rsid w:val="00C64854"/>
    <w:rsid w:val="00C72F46"/>
    <w:rsid w:val="00C8408A"/>
    <w:rsid w:val="00C87370"/>
    <w:rsid w:val="00C91257"/>
    <w:rsid w:val="00CC1923"/>
    <w:rsid w:val="00CC1E68"/>
    <w:rsid w:val="00CC32E9"/>
    <w:rsid w:val="00CD3BA0"/>
    <w:rsid w:val="00CD7746"/>
    <w:rsid w:val="00CE0AA8"/>
    <w:rsid w:val="00CE141B"/>
    <w:rsid w:val="00D12EF1"/>
    <w:rsid w:val="00D44DA5"/>
    <w:rsid w:val="00D454DD"/>
    <w:rsid w:val="00D54FED"/>
    <w:rsid w:val="00D809E2"/>
    <w:rsid w:val="00D828EB"/>
    <w:rsid w:val="00DA3A4E"/>
    <w:rsid w:val="00DA496A"/>
    <w:rsid w:val="00DA6275"/>
    <w:rsid w:val="00DC3460"/>
    <w:rsid w:val="00DC54F3"/>
    <w:rsid w:val="00DE39D7"/>
    <w:rsid w:val="00E13D9D"/>
    <w:rsid w:val="00E349F7"/>
    <w:rsid w:val="00E60112"/>
    <w:rsid w:val="00E64219"/>
    <w:rsid w:val="00E74A00"/>
    <w:rsid w:val="00E84F8E"/>
    <w:rsid w:val="00E94BB1"/>
    <w:rsid w:val="00EA0038"/>
    <w:rsid w:val="00EC75EA"/>
    <w:rsid w:val="00ED6AA9"/>
    <w:rsid w:val="00ED7BA4"/>
    <w:rsid w:val="00EE2098"/>
    <w:rsid w:val="00EE3703"/>
    <w:rsid w:val="00EE58B6"/>
    <w:rsid w:val="00EF62B3"/>
    <w:rsid w:val="00F069B3"/>
    <w:rsid w:val="00F2514C"/>
    <w:rsid w:val="00F42F5A"/>
    <w:rsid w:val="00F43587"/>
    <w:rsid w:val="00F519F5"/>
    <w:rsid w:val="00F63B06"/>
    <w:rsid w:val="00F85A04"/>
    <w:rsid w:val="00FB5A34"/>
    <w:rsid w:val="00FC42C3"/>
    <w:rsid w:val="00FD0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  <w:style w:type="paragraph" w:styleId="af2">
    <w:name w:val="List Paragraph"/>
    <w:basedOn w:val="a"/>
    <w:uiPriority w:val="34"/>
    <w:qFormat/>
    <w:rsid w:val="002131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9.0321254712975196E-2"/>
          <c:y val="9.2333570646306484E-2"/>
          <c:w val="0.70553202304719298"/>
          <c:h val="0.80848726221318123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3 квартал 2018</c:v>
                </c:pt>
              </c:strCache>
            </c:strRef>
          </c:tx>
          <c:spPr>
            <a:solidFill>
              <a:srgbClr val="006600"/>
            </a:solidFill>
            <a:effectLst>
              <a:outerShdw blurRad="50800" dist="50800" dir="5400000" algn="ctr" rotWithShape="0">
                <a:srgbClr val="006600"/>
              </a:outerShdw>
            </a:effectLst>
          </c:spPr>
          <c:dLbls>
            <c:dLbl>
              <c:idx val="0"/>
              <c:layout>
                <c:manualLayout>
                  <c:x val="-2.9020614101082375E-2"/>
                  <c:y val="-4.0254818230944754E-2"/>
                </c:manualLayout>
              </c:layout>
              <c:showVal val="1"/>
            </c:dLbl>
            <c:dLbl>
              <c:idx val="1"/>
              <c:layout>
                <c:manualLayout>
                  <c:x val="2.7656958819819548E-2"/>
                  <c:y val="-5.5528518122385233E-2"/>
                </c:manualLayout>
              </c:layout>
              <c:showVal val="1"/>
            </c:dLbl>
            <c:dLbl>
              <c:idx val="2"/>
              <c:layout>
                <c:manualLayout>
                  <c:x val="7.4049411094285816E-4"/>
                  <c:y val="-5.5528518122385177E-2"/>
                </c:manualLayout>
              </c:layout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июль</c:v>
                </c:pt>
                <c:pt idx="1">
                  <c:v>август</c:v>
                </c:pt>
                <c:pt idx="2">
                  <c:v>сентябрь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</c:v>
                </c:pt>
                <c:pt idx="1">
                  <c:v>8</c:v>
                </c:pt>
                <c:pt idx="2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 квартал 2019</c:v>
                </c:pt>
              </c:strCache>
            </c:strRef>
          </c:tx>
          <c:spPr>
            <a:effectLst>
              <a:outerShdw blurRad="50800" dist="50800" dir="5400000" algn="ctr" rotWithShape="0">
                <a:srgbClr val="990000"/>
              </a:outerShdw>
            </a:effectLst>
          </c:spPr>
          <c:dLbls>
            <c:dLbl>
              <c:idx val="0"/>
              <c:layout>
                <c:manualLayout>
                  <c:x val="1.5940312268895761E-2"/>
                  <c:y val="-4.2589970510935424E-2"/>
                </c:manualLayout>
              </c:layout>
              <c:showVal val="1"/>
            </c:dLbl>
            <c:dLbl>
              <c:idx val="1"/>
              <c:layout>
                <c:manualLayout>
                  <c:x val="2.0006146773424275E-2"/>
                  <c:y val="-5.3233855178064719E-2"/>
                </c:manualLayout>
              </c:layout>
              <c:showVal val="1"/>
            </c:dLbl>
            <c:dLbl>
              <c:idx val="2"/>
              <c:layout>
                <c:manualLayout>
                  <c:x val="2.4316251492673496E-2"/>
                  <c:y val="-5.3233855178064719E-2"/>
                </c:manualLayout>
              </c:layout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июль</c:v>
                </c:pt>
                <c:pt idx="1">
                  <c:v>август</c:v>
                </c:pt>
                <c:pt idx="2">
                  <c:v>сентябрь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9</c:v>
                </c:pt>
                <c:pt idx="1">
                  <c:v>5</c:v>
                </c:pt>
                <c:pt idx="2">
                  <c:v>4</c:v>
                </c:pt>
              </c:numCache>
            </c:numRef>
          </c:val>
        </c:ser>
        <c:shape val="box"/>
        <c:axId val="79660160"/>
        <c:axId val="79661696"/>
        <c:axId val="0"/>
      </c:bar3DChart>
      <c:catAx>
        <c:axId val="79660160"/>
        <c:scaling>
          <c:orientation val="minMax"/>
        </c:scaling>
        <c:axPos val="b"/>
        <c:tickLblPos val="nextTo"/>
        <c:crossAx val="79661696"/>
        <c:crosses val="autoZero"/>
        <c:auto val="1"/>
        <c:lblAlgn val="ctr"/>
        <c:lblOffset val="100"/>
      </c:catAx>
      <c:valAx>
        <c:axId val="79661696"/>
        <c:scaling>
          <c:orientation val="minMax"/>
          <c:min val="0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baseline="0"/>
            </a:pPr>
            <a:endParaRPr lang="ru-RU"/>
          </a:p>
        </c:txPr>
        <c:crossAx val="796601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5020624501253907"/>
          <c:y val="0.31171496314171654"/>
          <c:w val="0.21445686353674673"/>
          <c:h val="0.18798769030281925"/>
        </c:manualLayout>
      </c:layout>
    </c:legend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5.9990339749198179E-2"/>
          <c:y val="4.4057617797775409E-2"/>
          <c:w val="0.71525390055409765"/>
          <c:h val="0.8089120109986252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3 квартал 2018</c:v>
                </c:pt>
              </c:strCache>
            </c:strRef>
          </c:tx>
          <c:spPr>
            <a:solidFill>
              <a:srgbClr val="006600"/>
            </a:solidFill>
          </c:spPr>
          <c:dLbls>
            <c:dLbl>
              <c:idx val="0"/>
              <c:layout>
                <c:manualLayout>
                  <c:x val="6.9444444444444735E-3"/>
                  <c:y val="-1.9841269841269854E-2"/>
                </c:manualLayout>
              </c:layout>
              <c:showVal val="1"/>
            </c:dLbl>
            <c:dLbl>
              <c:idx val="1"/>
              <c:layout>
                <c:manualLayout>
                  <c:x val="6.9444444444444163E-3"/>
                  <c:y val="-3.9682539682539791E-2"/>
                </c:manualLayout>
              </c:layout>
              <c:showVal val="1"/>
            </c:dLbl>
            <c:dLbl>
              <c:idx val="2"/>
              <c:layout>
                <c:manualLayout>
                  <c:x val="9.2592592592593073E-3"/>
                  <c:y val="-1.5873015873015879E-2"/>
                </c:manualLayout>
              </c:layout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почта России</c:v>
                </c:pt>
                <c:pt idx="1">
                  <c:v>Электронная почта</c:v>
                </c:pt>
                <c:pt idx="2">
                  <c:v>Другой способ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</c:v>
                </c:pt>
                <c:pt idx="1">
                  <c:v>6</c:v>
                </c:pt>
                <c:pt idx="2">
                  <c:v>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 квартал 2019</c:v>
                </c:pt>
              </c:strCache>
            </c:strRef>
          </c:tx>
          <c:spPr>
            <a:solidFill>
              <a:srgbClr val="990033"/>
            </a:solidFill>
          </c:spPr>
          <c:dLbls>
            <c:dLbl>
              <c:idx val="0"/>
              <c:layout>
                <c:manualLayout>
                  <c:x val="1.6203703703703703E-2"/>
                  <c:y val="-1.5873015873015879E-2"/>
                </c:manualLayout>
              </c:layout>
              <c:showVal val="1"/>
            </c:dLbl>
            <c:dLbl>
              <c:idx val="1"/>
              <c:layout>
                <c:manualLayout>
                  <c:x val="1.8518518518518559E-2"/>
                  <c:y val="-1.9841269841269889E-2"/>
                </c:manualLayout>
              </c:layout>
              <c:showVal val="1"/>
            </c:dLbl>
            <c:dLbl>
              <c:idx val="2"/>
              <c:layout>
                <c:manualLayout>
                  <c:x val="1.8518518518518479E-2"/>
                  <c:y val="-4.3650793650793704E-2"/>
                </c:manualLayout>
              </c:layout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почта России</c:v>
                </c:pt>
                <c:pt idx="1">
                  <c:v>Электронная почта</c:v>
                </c:pt>
                <c:pt idx="2">
                  <c:v>Другой способ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</c:v>
                </c:pt>
                <c:pt idx="1">
                  <c:v>3</c:v>
                </c:pt>
                <c:pt idx="2">
                  <c:v>14</c:v>
                </c:pt>
              </c:numCache>
            </c:numRef>
          </c:val>
        </c:ser>
        <c:shape val="box"/>
        <c:axId val="10021888"/>
        <c:axId val="79954688"/>
        <c:axId val="0"/>
      </c:bar3DChart>
      <c:catAx>
        <c:axId val="10021888"/>
        <c:scaling>
          <c:orientation val="minMax"/>
        </c:scaling>
        <c:axPos val="b"/>
        <c:tickLblPos val="nextTo"/>
        <c:crossAx val="79954688"/>
        <c:crosses val="autoZero"/>
        <c:auto val="1"/>
        <c:lblAlgn val="ctr"/>
        <c:lblOffset val="100"/>
      </c:catAx>
      <c:valAx>
        <c:axId val="79954688"/>
        <c:scaling>
          <c:orientation val="minMax"/>
        </c:scaling>
        <c:axPos val="l"/>
        <c:majorGridlines/>
        <c:numFmt formatCode="General" sourceLinked="1"/>
        <c:tickLblPos val="nextTo"/>
        <c:crossAx val="10021888"/>
        <c:crosses val="autoZero"/>
        <c:crossBetween val="between"/>
      </c:valAx>
    </c:plotArea>
    <c:legend>
      <c:legendPos val="r"/>
      <c:layout/>
    </c:legend>
    <c:plotVisOnly val="1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Тематика</a:t>
            </a:r>
            <a:r>
              <a:rPr lang="ru-RU" sz="1200" baseline="0"/>
              <a:t> обращений граждан в 3</a:t>
            </a:r>
            <a:r>
              <a:rPr lang="en-US" sz="1200" baseline="0"/>
              <a:t> </a:t>
            </a:r>
            <a:r>
              <a:rPr lang="ru-RU" sz="1200" baseline="0"/>
              <a:t>квартале 2019 года</a:t>
            </a:r>
            <a:endParaRPr lang="ru-RU" sz="1200"/>
          </a:p>
        </c:rich>
      </c:tx>
      <c:layout>
        <c:manualLayout>
          <c:xMode val="edge"/>
          <c:yMode val="edge"/>
          <c:x val="0.14955612110851887"/>
          <c:y val="2.6477486015996188E-3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2.6698697962768986E-2"/>
          <c:y val="0.2616991973034708"/>
          <c:w val="0.85113265324148812"/>
          <c:h val="0.6240269306633551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15"/>
          <c:dLbls>
            <c:dLbl>
              <c:idx val="0"/>
              <c:layout>
                <c:manualLayout>
                  <c:x val="0.12951175389199848"/>
                  <c:y val="-3.3879767228107031E-2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7.8249652417964347E-2"/>
                  <c:y val="7.281985573683443E-2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0.15594358703157288"/>
                  <c:y val="-2.4002256727254891E-2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-0.13843405976945167"/>
                  <c:y val="5.7338043024995882E-3"/>
                </c:manualLayout>
              </c:layout>
              <c:showCatName val="1"/>
              <c:showPercent val="1"/>
            </c:dLbl>
            <c:dLbl>
              <c:idx val="4"/>
              <c:layout>
                <c:manualLayout>
                  <c:x val="-1.1109776614128149E-2"/>
                  <c:y val="7.716605291910475E-2"/>
                </c:manualLayout>
              </c:layout>
              <c:showCatName val="1"/>
              <c:showPercent val="1"/>
            </c:dLbl>
            <c:dLbl>
              <c:idx val="5"/>
              <c:layout>
                <c:manualLayout>
                  <c:x val="-4.2052716517326991E-2"/>
                  <c:y val="-6.6632243115092304E-2"/>
                </c:manualLayout>
              </c:layout>
              <c:showCatName val="1"/>
              <c:showPercent val="1"/>
            </c:dLbl>
            <c:dLbl>
              <c:idx val="6"/>
              <c:layout>
                <c:manualLayout>
                  <c:x val="-6.6788401345387119E-2"/>
                  <c:y val="-7.0790138938281663E-2"/>
                </c:manualLayout>
              </c:layout>
              <c:showCatName val="1"/>
              <c:showPercent val="1"/>
            </c:dLbl>
            <c:dLbl>
              <c:idx val="7"/>
              <c:layout>
                <c:manualLayout>
                  <c:x val="-1.4421668963171394E-2"/>
                  <c:y val="-8.5340744096874102E-2"/>
                </c:manualLayout>
              </c:layout>
              <c:showCatName val="1"/>
              <c:showPercent val="1"/>
            </c:dLbl>
            <c:dLbl>
              <c:idx val="8"/>
              <c:layout>
                <c:manualLayout>
                  <c:x val="0.10903537343022861"/>
                  <c:y val="-2.0977274703663659E-2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sz="8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strRef>
              <c:f>Лист1!$A$2:$A$10</c:f>
              <c:strCache>
                <c:ptCount val="9"/>
                <c:pt idx="0">
                  <c:v>Демография</c:v>
                </c:pt>
                <c:pt idx="1">
                  <c:v>Инфляция и дефляция</c:v>
                </c:pt>
                <c:pt idx="2">
                  <c:v>Цены и ценообразование</c:v>
                </c:pt>
                <c:pt idx="3">
                  <c:v>Заработная плата</c:v>
                </c:pt>
                <c:pt idx="4">
                  <c:v>Запросы архивных данных</c:v>
                </c:pt>
                <c:pt idx="5">
                  <c:v>Прожиточный минимум</c:v>
                </c:pt>
                <c:pt idx="6">
                  <c:v>Трудовой стаж</c:v>
                </c:pt>
                <c:pt idx="7">
                  <c:v>Бухгалтерский учет</c:v>
                </c:pt>
                <c:pt idx="8">
                  <c:v>Официальная статистическая методология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2</c:v>
                </c:pt>
                <c:pt idx="1">
                  <c:v>2</c:v>
                </c:pt>
                <c:pt idx="2">
                  <c:v>4</c:v>
                </c:pt>
                <c:pt idx="3">
                  <c:v>4</c:v>
                </c:pt>
                <c:pt idx="4">
                  <c:v>1</c:v>
                </c:pt>
                <c:pt idx="5">
                  <c:v>1</c:v>
                </c:pt>
                <c:pt idx="6">
                  <c:v>2</c:v>
                </c:pt>
                <c:pt idx="7">
                  <c:v>1</c:v>
                </c:pt>
                <c:pt idx="8">
                  <c:v>1</c:v>
                </c:pt>
              </c:numCache>
            </c:numRef>
          </c:val>
        </c:ser>
      </c:pie3DChart>
    </c:plotArea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F4427-DC92-4035-85BD-CF1AB9BF8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Андрей Владимирович</dc:creator>
  <cp:lastModifiedBy>P41_EgorovaEV</cp:lastModifiedBy>
  <cp:revision>8</cp:revision>
  <cp:lastPrinted>2019-10-02T02:25:00Z</cp:lastPrinted>
  <dcterms:created xsi:type="dcterms:W3CDTF">2019-09-16T02:34:00Z</dcterms:created>
  <dcterms:modified xsi:type="dcterms:W3CDTF">2019-10-02T22:18:00Z</dcterms:modified>
</cp:coreProperties>
</file>